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BFFB" w14:textId="77777777" w:rsidR="008E16BE" w:rsidRPr="008E16BE" w:rsidRDefault="008E16BE" w:rsidP="002B7872">
      <w:pPr>
        <w:rPr>
          <w:rFonts w:ascii="Trebuchet MS" w:hAnsi="Trebuchet MS"/>
          <w:b/>
          <w:sz w:val="28"/>
          <w:szCs w:val="28"/>
        </w:rPr>
      </w:pPr>
    </w:p>
    <w:p w14:paraId="6055D108" w14:textId="77777777" w:rsidR="008D3D74" w:rsidRDefault="008D3D74" w:rsidP="002B7872">
      <w:pPr>
        <w:rPr>
          <w:rFonts w:ascii="Trebuchet MS" w:hAnsi="Trebuchet MS"/>
          <w:b/>
          <w:sz w:val="44"/>
          <w:szCs w:val="44"/>
        </w:rPr>
      </w:pPr>
    </w:p>
    <w:p w14:paraId="5740F95F" w14:textId="0A0DD1EF" w:rsidR="0071341E" w:rsidRPr="0071341E" w:rsidRDefault="00851488" w:rsidP="002B7872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Manag</w:t>
      </w:r>
      <w:r w:rsidR="00E82BBF">
        <w:rPr>
          <w:rFonts w:ascii="Trebuchet MS" w:hAnsi="Trebuchet MS"/>
          <w:b/>
          <w:sz w:val="44"/>
          <w:szCs w:val="44"/>
        </w:rPr>
        <w:t>ement of</w:t>
      </w:r>
      <w:r w:rsidR="000A6B59">
        <w:rPr>
          <w:rFonts w:ascii="Trebuchet MS" w:hAnsi="Trebuchet MS"/>
          <w:b/>
          <w:sz w:val="44"/>
          <w:szCs w:val="44"/>
        </w:rPr>
        <w:t xml:space="preserve"> </w:t>
      </w:r>
      <w:r w:rsidR="00872F9B">
        <w:rPr>
          <w:rFonts w:ascii="Trebuchet MS" w:hAnsi="Trebuchet MS"/>
          <w:b/>
          <w:sz w:val="44"/>
          <w:szCs w:val="44"/>
        </w:rPr>
        <w:t>Risk</w:t>
      </w:r>
      <w:r w:rsidR="000A6B59">
        <w:rPr>
          <w:rFonts w:ascii="Trebuchet MS" w:hAnsi="Trebuchet MS"/>
          <w:b/>
          <w:sz w:val="44"/>
          <w:szCs w:val="44"/>
        </w:rPr>
        <w:t xml:space="preserve"> Course</w:t>
      </w:r>
    </w:p>
    <w:p w14:paraId="72AB86B4" w14:textId="77777777" w:rsidR="0071341E" w:rsidRDefault="0071341E" w:rsidP="002B7872">
      <w:pPr>
        <w:rPr>
          <w:rFonts w:ascii="Trebuchet MS" w:hAnsi="Trebuchet MS"/>
          <w:b/>
        </w:rPr>
      </w:pPr>
    </w:p>
    <w:p w14:paraId="395B9563" w14:textId="0EA66B84" w:rsidR="00A359C2" w:rsidRPr="00A359C2" w:rsidRDefault="00A359C2" w:rsidP="00A359C2">
      <w:pPr>
        <w:spacing w:before="40"/>
        <w:rPr>
          <w:rFonts w:ascii="Trebuchet MS" w:hAnsi="Trebuchet MS"/>
          <w:b/>
        </w:rPr>
      </w:pPr>
      <w:r w:rsidRPr="00A359C2">
        <w:rPr>
          <w:rFonts w:ascii="Trebuchet MS" w:hAnsi="Trebuchet MS"/>
          <w:b/>
        </w:rPr>
        <w:t xml:space="preserve">A </w:t>
      </w:r>
      <w:r w:rsidR="007E0090">
        <w:rPr>
          <w:rFonts w:ascii="Trebuchet MS" w:hAnsi="Trebuchet MS"/>
          <w:b/>
        </w:rPr>
        <w:t>1-</w:t>
      </w:r>
      <w:r w:rsidRPr="00A359C2">
        <w:rPr>
          <w:rFonts w:ascii="Trebuchet MS" w:hAnsi="Trebuchet MS"/>
          <w:b/>
        </w:rPr>
        <w:t xml:space="preserve">day course for </w:t>
      </w:r>
      <w:r w:rsidR="000C42B7">
        <w:rPr>
          <w:rFonts w:ascii="Trebuchet MS" w:hAnsi="Trebuchet MS"/>
          <w:b/>
          <w:color w:val="000000" w:themeColor="text1"/>
        </w:rPr>
        <w:t>construction team members</w:t>
      </w:r>
      <w:r w:rsidR="006A50C7" w:rsidRPr="00DE798B">
        <w:rPr>
          <w:rFonts w:ascii="Trebuchet MS" w:hAnsi="Trebuchet MS"/>
          <w:b/>
          <w:color w:val="000000" w:themeColor="text1"/>
        </w:rPr>
        <w:t xml:space="preserve"> who </w:t>
      </w:r>
      <w:r w:rsidR="00A8312E">
        <w:rPr>
          <w:rFonts w:ascii="Trebuchet MS" w:hAnsi="Trebuchet MS"/>
          <w:b/>
          <w:color w:val="000000" w:themeColor="text1"/>
        </w:rPr>
        <w:t xml:space="preserve">want to </w:t>
      </w:r>
      <w:r w:rsidR="00BF16C5">
        <w:rPr>
          <w:rFonts w:ascii="Trebuchet MS" w:hAnsi="Trebuchet MS"/>
          <w:b/>
          <w:color w:val="000000" w:themeColor="text1"/>
        </w:rPr>
        <w:t>develop their understanding and performance of the management of risks in the construction industry</w:t>
      </w:r>
      <w:r w:rsidR="00A8312E">
        <w:rPr>
          <w:rFonts w:ascii="Trebuchet MS" w:hAnsi="Trebuchet MS"/>
          <w:b/>
          <w:color w:val="000000" w:themeColor="text1"/>
        </w:rPr>
        <w:t xml:space="preserve"> </w:t>
      </w:r>
    </w:p>
    <w:p w14:paraId="097EC352" w14:textId="77777777" w:rsidR="00A359C2" w:rsidRPr="00EF66D0" w:rsidRDefault="00A359C2" w:rsidP="00A359C2">
      <w:pPr>
        <w:spacing w:before="40"/>
        <w:rPr>
          <w:rFonts w:ascii="Trebuchet MS" w:hAnsi="Trebuchet MS"/>
          <w:b/>
          <w:sz w:val="20"/>
        </w:rPr>
      </w:pPr>
    </w:p>
    <w:p w14:paraId="5F17D7C9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Aim and Target Audience</w:t>
      </w:r>
    </w:p>
    <w:p w14:paraId="30BE204C" w14:textId="15D3A464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 xml:space="preserve">The aim of the course is to provide delegates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with an </w:t>
      </w:r>
      <w:r w:rsidR="00A8312E" w:rsidRPr="009F7B43">
        <w:rPr>
          <w:rFonts w:ascii="Trebuchet MS" w:hAnsi="Trebuchet MS"/>
          <w:bCs/>
          <w:sz w:val="22"/>
          <w:szCs w:val="22"/>
        </w:rPr>
        <w:t>understand</w:t>
      </w:r>
      <w:r w:rsidR="004A61AF" w:rsidRPr="009F7B43">
        <w:rPr>
          <w:rFonts w:ascii="Trebuchet MS" w:hAnsi="Trebuchet MS"/>
          <w:bCs/>
          <w:sz w:val="22"/>
          <w:szCs w:val="22"/>
        </w:rPr>
        <w:t>ing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 </w:t>
      </w:r>
      <w:r w:rsidR="004A61AF" w:rsidRPr="009F7B43">
        <w:rPr>
          <w:rFonts w:ascii="Trebuchet MS" w:hAnsi="Trebuchet MS"/>
          <w:bCs/>
          <w:sz w:val="22"/>
          <w:szCs w:val="22"/>
        </w:rPr>
        <w:t xml:space="preserve">of </w:t>
      </w:r>
      <w:r w:rsidR="00A8312E" w:rsidRPr="009F7B43">
        <w:rPr>
          <w:rFonts w:ascii="Trebuchet MS" w:hAnsi="Trebuchet MS"/>
          <w:bCs/>
          <w:sz w:val="22"/>
          <w:szCs w:val="22"/>
        </w:rPr>
        <w:t xml:space="preserve">the </w:t>
      </w:r>
      <w:r w:rsidR="00E74AD6">
        <w:rPr>
          <w:rFonts w:ascii="Trebuchet MS" w:hAnsi="Trebuchet MS"/>
          <w:bCs/>
          <w:sz w:val="22"/>
          <w:szCs w:val="22"/>
        </w:rPr>
        <w:t xml:space="preserve">principles and practice of managing construction risks.  This includes understanding the pre-requisites of managing risk in a construction business and </w:t>
      </w:r>
      <w:r w:rsidR="00E34928">
        <w:rPr>
          <w:rFonts w:ascii="Trebuchet MS" w:hAnsi="Trebuchet MS"/>
          <w:bCs/>
          <w:sz w:val="22"/>
          <w:szCs w:val="22"/>
        </w:rPr>
        <w:t>effectively implementing</w:t>
      </w:r>
      <w:r w:rsidR="00E74AD6">
        <w:rPr>
          <w:rFonts w:ascii="Trebuchet MS" w:hAnsi="Trebuchet MS"/>
          <w:bCs/>
          <w:sz w:val="22"/>
          <w:szCs w:val="22"/>
        </w:rPr>
        <w:t xml:space="preserve"> risk management process</w:t>
      </w:r>
      <w:r w:rsidR="00E34928">
        <w:rPr>
          <w:rFonts w:ascii="Trebuchet MS" w:hAnsi="Trebuchet MS"/>
          <w:bCs/>
          <w:sz w:val="22"/>
          <w:szCs w:val="22"/>
        </w:rPr>
        <w:t>es</w:t>
      </w:r>
      <w:r w:rsidRPr="009F7B43">
        <w:rPr>
          <w:rFonts w:ascii="Trebuchet MS" w:hAnsi="Trebuchet MS"/>
          <w:bCs/>
          <w:sz w:val="22"/>
          <w:szCs w:val="22"/>
        </w:rPr>
        <w:t xml:space="preserve">.  The course is suitable </w:t>
      </w:r>
      <w:r w:rsidR="000C42B7" w:rsidRPr="009F7B43">
        <w:rPr>
          <w:rFonts w:ascii="Trebuchet MS" w:hAnsi="Trebuchet MS"/>
          <w:bCs/>
          <w:sz w:val="22"/>
          <w:szCs w:val="22"/>
        </w:rPr>
        <w:t>for</w:t>
      </w:r>
      <w:r w:rsidRPr="009F7B43">
        <w:rPr>
          <w:rFonts w:ascii="Trebuchet MS" w:hAnsi="Trebuchet MS"/>
          <w:bCs/>
          <w:sz w:val="22"/>
          <w:szCs w:val="22"/>
        </w:rPr>
        <w:t xml:space="preserve"> </w:t>
      </w:r>
      <w:r w:rsidR="00E74AD6">
        <w:rPr>
          <w:rFonts w:ascii="Trebuchet MS" w:hAnsi="Trebuchet MS"/>
          <w:bCs/>
          <w:sz w:val="22"/>
          <w:szCs w:val="22"/>
        </w:rPr>
        <w:t xml:space="preserve">all </w:t>
      </w:r>
      <w:r w:rsidRPr="009F7B43">
        <w:rPr>
          <w:rFonts w:ascii="Trebuchet MS" w:hAnsi="Trebuchet MS"/>
          <w:bCs/>
          <w:sz w:val="22"/>
          <w:szCs w:val="22"/>
        </w:rPr>
        <w:t xml:space="preserve">people who </w:t>
      </w:r>
      <w:r w:rsidR="00E74AD6">
        <w:rPr>
          <w:rFonts w:ascii="Trebuchet MS" w:hAnsi="Trebuchet MS"/>
          <w:bCs/>
          <w:sz w:val="22"/>
          <w:szCs w:val="22"/>
        </w:rPr>
        <w:t>are interested in improving the management of risk in construction businesses</w:t>
      </w:r>
      <w:r w:rsidR="006A50C7" w:rsidRPr="009F7B43">
        <w:rPr>
          <w:rFonts w:ascii="Trebuchet MS" w:hAnsi="Trebuchet MS"/>
          <w:bCs/>
          <w:sz w:val="22"/>
          <w:szCs w:val="22"/>
        </w:rPr>
        <w:t xml:space="preserve">.  For example, </w:t>
      </w:r>
      <w:r w:rsidR="00E74AD6">
        <w:rPr>
          <w:rFonts w:ascii="Trebuchet MS" w:hAnsi="Trebuchet MS"/>
          <w:bCs/>
          <w:sz w:val="22"/>
          <w:szCs w:val="22"/>
        </w:rPr>
        <w:t>directors, project managers, commercial managers</w:t>
      </w:r>
      <w:r w:rsidR="00872F9B">
        <w:rPr>
          <w:rFonts w:ascii="Trebuchet MS" w:hAnsi="Trebuchet MS"/>
          <w:bCs/>
          <w:color w:val="000000" w:themeColor="text1"/>
          <w:sz w:val="22"/>
          <w:szCs w:val="22"/>
        </w:rPr>
        <w:t>, site managers and</w:t>
      </w:r>
      <w:r w:rsidR="000C42B7" w:rsidRPr="009F7B43">
        <w:rPr>
          <w:rFonts w:ascii="Trebuchet MS" w:hAnsi="Trebuchet MS"/>
          <w:bCs/>
          <w:sz w:val="22"/>
          <w:szCs w:val="22"/>
        </w:rPr>
        <w:t xml:space="preserve"> quantity </w:t>
      </w:r>
      <w:r w:rsidR="00872F9B">
        <w:rPr>
          <w:rFonts w:ascii="Trebuchet MS" w:hAnsi="Trebuchet MS"/>
          <w:bCs/>
          <w:sz w:val="22"/>
          <w:szCs w:val="22"/>
        </w:rPr>
        <w:t>surveyors</w:t>
      </w:r>
      <w:r w:rsidRPr="009F7B43">
        <w:rPr>
          <w:rFonts w:ascii="Trebuchet MS" w:hAnsi="Trebuchet MS"/>
          <w:bCs/>
          <w:sz w:val="22"/>
          <w:szCs w:val="22"/>
        </w:rPr>
        <w:t>.</w:t>
      </w:r>
    </w:p>
    <w:p w14:paraId="08E9DB21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0E883A76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Objectives</w:t>
      </w:r>
    </w:p>
    <w:p w14:paraId="1B37808F" w14:textId="77777777" w:rsidR="00A359C2" w:rsidRPr="009F7B43" w:rsidRDefault="00A359C2" w:rsidP="009F7B43">
      <w:pPr>
        <w:spacing w:before="12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>At the end of the course delegates will:</w:t>
      </w:r>
    </w:p>
    <w:p w14:paraId="3B4BB090" w14:textId="0616D84C" w:rsidR="000A6B59" w:rsidRPr="009F7B43" w:rsidRDefault="000A6B5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understand the </w:t>
      </w:r>
      <w:r w:rsidR="00872F9B">
        <w:rPr>
          <w:rFonts w:ascii="Trebuchet MS" w:hAnsi="Trebuchet MS"/>
          <w:sz w:val="22"/>
          <w:szCs w:val="22"/>
        </w:rPr>
        <w:t>principles and practice of managing construction risks</w:t>
      </w:r>
    </w:p>
    <w:p w14:paraId="61C14A25" w14:textId="51D6255B" w:rsidR="000A6B59" w:rsidRPr="009F7B43" w:rsidRDefault="00872F9B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have assessed their own readiness for the management of risk</w:t>
      </w:r>
    </w:p>
    <w:p w14:paraId="4F46525F" w14:textId="0A62C358" w:rsidR="000A6B59" w:rsidRPr="009F7B43" w:rsidRDefault="00872F9B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appreciate the wide variety of construction risks and their sources</w:t>
      </w:r>
    </w:p>
    <w:p w14:paraId="57D2D3B0" w14:textId="0979C441" w:rsidR="000A6B59" w:rsidRPr="009F7B43" w:rsidRDefault="000A6B5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know </w:t>
      </w:r>
      <w:r w:rsidR="00872F9B">
        <w:rPr>
          <w:rFonts w:ascii="Trebuchet MS" w:hAnsi="Trebuchet MS"/>
          <w:sz w:val="22"/>
          <w:szCs w:val="22"/>
        </w:rPr>
        <w:t>how to record, analyse and manage construction risks</w:t>
      </w:r>
      <w:r w:rsidRPr="009F7B43">
        <w:rPr>
          <w:rFonts w:ascii="Trebuchet MS" w:hAnsi="Trebuchet MS"/>
          <w:sz w:val="22"/>
          <w:szCs w:val="22"/>
        </w:rPr>
        <w:t xml:space="preserve"> </w:t>
      </w:r>
    </w:p>
    <w:p w14:paraId="4E0FE439" w14:textId="14500AC9" w:rsidR="00A359C2" w:rsidRPr="009F7B43" w:rsidRDefault="00AF2042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practise</w:t>
      </w:r>
      <w:r w:rsidR="00872F9B">
        <w:rPr>
          <w:rFonts w:ascii="Trebuchet MS" w:hAnsi="Trebuchet MS"/>
          <w:sz w:val="22"/>
          <w:szCs w:val="22"/>
        </w:rPr>
        <w:t xml:space="preserve"> the implementation of these techniques in a workshop session</w:t>
      </w:r>
      <w:r w:rsidR="004A61AF" w:rsidRPr="009F7B43">
        <w:rPr>
          <w:rFonts w:ascii="Trebuchet MS" w:hAnsi="Trebuchet MS"/>
          <w:bCs/>
          <w:sz w:val="22"/>
          <w:szCs w:val="22"/>
        </w:rPr>
        <w:t>.</w:t>
      </w:r>
    </w:p>
    <w:p w14:paraId="52B33E04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415EFB17" w14:textId="77777777" w:rsidR="000A6B59" w:rsidRPr="009F7B43" w:rsidRDefault="000A6B59" w:rsidP="000A6B59">
      <w:pPr>
        <w:spacing w:before="12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Programme</w:t>
      </w:r>
    </w:p>
    <w:p w14:paraId="73D380D0" w14:textId="77777777" w:rsidR="000A6B59" w:rsidRPr="009F7B43" w:rsidRDefault="000A6B59" w:rsidP="009F7B43">
      <w:p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09.00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  <w:t>Introduction to the course</w:t>
      </w:r>
    </w:p>
    <w:p w14:paraId="14019524" w14:textId="7B1111D8" w:rsidR="000A6B59" w:rsidRPr="009F7B43" w:rsidRDefault="00BF16C5" w:rsidP="009F7B43">
      <w:p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09.20</w:t>
      </w:r>
      <w:r w:rsidR="000A6B59" w:rsidRPr="009F7B43">
        <w:rPr>
          <w:rFonts w:ascii="Trebuchet MS" w:hAnsi="Trebuchet MS"/>
          <w:sz w:val="22"/>
          <w:szCs w:val="22"/>
        </w:rPr>
        <w:t xml:space="preserve"> </w:t>
      </w:r>
      <w:r w:rsidR="000A6B59" w:rsidRPr="009F7B43">
        <w:rPr>
          <w:rFonts w:ascii="Trebuchet MS" w:hAnsi="Trebuchet MS"/>
          <w:sz w:val="22"/>
          <w:szCs w:val="22"/>
        </w:rPr>
        <w:tab/>
      </w:r>
      <w:r w:rsidR="000A6B59" w:rsidRPr="009F7B43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Managing risk – principles and practice in industry</w:t>
      </w:r>
    </w:p>
    <w:p w14:paraId="1BC33702" w14:textId="76198BCE" w:rsidR="000A6B59" w:rsidRPr="009F7B43" w:rsidRDefault="000A6B59" w:rsidP="009F7B43">
      <w:p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10.00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</w:r>
      <w:r w:rsidR="00BF16C5">
        <w:rPr>
          <w:rFonts w:ascii="Trebuchet MS" w:hAnsi="Trebuchet MS"/>
          <w:sz w:val="22"/>
          <w:szCs w:val="22"/>
        </w:rPr>
        <w:t>Construction risk case studies – the good, the bad and the ugly</w:t>
      </w:r>
      <w:r w:rsidR="0066598D" w:rsidRPr="009F7B43">
        <w:rPr>
          <w:rFonts w:ascii="Trebuchet MS" w:hAnsi="Trebuchet MS"/>
          <w:sz w:val="22"/>
          <w:szCs w:val="22"/>
        </w:rPr>
        <w:tab/>
      </w:r>
      <w:r w:rsidR="0066598D">
        <w:rPr>
          <w:rFonts w:ascii="Trebuchet MS" w:hAnsi="Trebuchet MS"/>
          <w:sz w:val="22"/>
          <w:szCs w:val="22"/>
        </w:rPr>
        <w:t xml:space="preserve"> </w:t>
      </w:r>
    </w:p>
    <w:p w14:paraId="2B2212A8" w14:textId="59549B7F" w:rsidR="000A6B59" w:rsidRPr="009F7B43" w:rsidRDefault="000A6B59" w:rsidP="009F7B43">
      <w:pPr>
        <w:spacing w:before="120"/>
        <w:rPr>
          <w:rFonts w:ascii="Trebuchet MS" w:hAnsi="Trebuchet MS"/>
          <w:b/>
          <w:i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10.</w:t>
      </w:r>
      <w:r w:rsidR="008D0A98">
        <w:rPr>
          <w:rFonts w:ascii="Trebuchet MS" w:hAnsi="Trebuchet MS"/>
          <w:sz w:val="22"/>
          <w:szCs w:val="22"/>
        </w:rPr>
        <w:t>45</w:t>
      </w:r>
      <w:r w:rsidRPr="009F7B43">
        <w:rPr>
          <w:rFonts w:ascii="Trebuchet MS" w:hAnsi="Trebuchet MS"/>
          <w:sz w:val="22"/>
          <w:szCs w:val="22"/>
        </w:rPr>
        <w:tab/>
      </w:r>
      <w:r w:rsidR="0066598D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b/>
          <w:i/>
          <w:sz w:val="22"/>
          <w:szCs w:val="22"/>
        </w:rPr>
        <w:t>Break</w:t>
      </w:r>
    </w:p>
    <w:p w14:paraId="55328315" w14:textId="75228C12" w:rsidR="0066598D" w:rsidRDefault="000A6B59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</w:t>
      </w:r>
      <w:r w:rsidR="008D0A98">
        <w:rPr>
          <w:rFonts w:ascii="Trebuchet MS" w:hAnsi="Trebuchet MS"/>
          <w:sz w:val="22"/>
          <w:szCs w:val="22"/>
        </w:rPr>
        <w:t>1</w:t>
      </w:r>
      <w:r w:rsidRPr="009F7B43">
        <w:rPr>
          <w:rFonts w:ascii="Trebuchet MS" w:hAnsi="Trebuchet MS"/>
          <w:sz w:val="22"/>
          <w:szCs w:val="22"/>
        </w:rPr>
        <w:t>.</w:t>
      </w:r>
      <w:r w:rsidR="008D0A98">
        <w:rPr>
          <w:rFonts w:ascii="Trebuchet MS" w:hAnsi="Trebuchet MS"/>
          <w:sz w:val="22"/>
          <w:szCs w:val="22"/>
        </w:rPr>
        <w:t>00</w:t>
      </w:r>
      <w:r w:rsidRPr="009F7B43">
        <w:rPr>
          <w:rFonts w:ascii="Trebuchet MS" w:hAnsi="Trebuchet MS"/>
          <w:sz w:val="22"/>
          <w:szCs w:val="22"/>
        </w:rPr>
        <w:tab/>
      </w:r>
      <w:r w:rsidR="00BF16C5">
        <w:rPr>
          <w:rFonts w:ascii="Trebuchet MS" w:hAnsi="Trebuchet MS"/>
          <w:sz w:val="22"/>
          <w:szCs w:val="22"/>
        </w:rPr>
        <w:t>Audit of your readiness to effectively manage risk</w:t>
      </w:r>
    </w:p>
    <w:p w14:paraId="0DDBA47C" w14:textId="0C04E298" w:rsidR="003B67DF" w:rsidRDefault="004F6506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11.4</w:t>
      </w:r>
      <w:r w:rsidR="0066598D">
        <w:rPr>
          <w:rFonts w:ascii="Trebuchet MS" w:hAnsi="Trebuchet MS"/>
          <w:sz w:val="22"/>
          <w:szCs w:val="22"/>
        </w:rPr>
        <w:t>5</w:t>
      </w:r>
      <w:r w:rsidR="0066598D">
        <w:rPr>
          <w:rFonts w:ascii="Trebuchet MS" w:hAnsi="Trebuchet MS"/>
          <w:sz w:val="22"/>
          <w:szCs w:val="22"/>
        </w:rPr>
        <w:tab/>
      </w:r>
      <w:r w:rsidR="00BF16C5">
        <w:rPr>
          <w:rFonts w:ascii="Trebuchet MS" w:hAnsi="Trebuchet MS"/>
          <w:sz w:val="22"/>
          <w:szCs w:val="22"/>
        </w:rPr>
        <w:t xml:space="preserve">Construction risk identification and recording methods </w:t>
      </w:r>
    </w:p>
    <w:p w14:paraId="3E41D315" w14:textId="77777777" w:rsidR="000A6B59" w:rsidRPr="009F7B43" w:rsidRDefault="000A6B59" w:rsidP="009F7B43">
      <w:pPr>
        <w:spacing w:before="120"/>
        <w:ind w:left="1418" w:hanging="1418"/>
        <w:rPr>
          <w:rFonts w:ascii="Trebuchet MS" w:hAnsi="Trebuchet MS"/>
          <w:i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12.30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b/>
          <w:i/>
          <w:sz w:val="22"/>
          <w:szCs w:val="22"/>
        </w:rPr>
        <w:tab/>
        <w:t>Lunch</w:t>
      </w:r>
    </w:p>
    <w:p w14:paraId="36AB81DD" w14:textId="1133D1D0" w:rsidR="000A6B59" w:rsidRPr="009F7B43" w:rsidRDefault="000A6B59" w:rsidP="00E74AD6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13.15</w:t>
      </w:r>
      <w:r w:rsidRPr="009F7B43">
        <w:rPr>
          <w:rFonts w:ascii="Trebuchet MS" w:hAnsi="Trebuchet MS"/>
          <w:sz w:val="22"/>
          <w:szCs w:val="22"/>
        </w:rPr>
        <w:tab/>
      </w:r>
      <w:r w:rsidR="00E74AD6">
        <w:rPr>
          <w:rFonts w:ascii="Trebuchet MS" w:hAnsi="Trebuchet MS"/>
          <w:sz w:val="22"/>
          <w:szCs w:val="22"/>
        </w:rPr>
        <w:t>Construction risk analysis and management approaches to mitigation</w:t>
      </w:r>
      <w:r w:rsidR="00872F9B">
        <w:rPr>
          <w:rFonts w:ascii="Trebuchet MS" w:hAnsi="Trebuchet MS"/>
          <w:sz w:val="22"/>
          <w:szCs w:val="22"/>
        </w:rPr>
        <w:t xml:space="preserve"> and control</w:t>
      </w:r>
    </w:p>
    <w:p w14:paraId="6CA1C0BE" w14:textId="6697B240" w:rsidR="000A6B59" w:rsidRPr="009F7B43" w:rsidRDefault="00E74AD6" w:rsidP="009F7B43">
      <w:pPr>
        <w:spacing w:before="120"/>
        <w:ind w:left="1418" w:hanging="1418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14.45</w:t>
      </w:r>
      <w:r w:rsidR="000A6B59" w:rsidRPr="009F7B43">
        <w:rPr>
          <w:rFonts w:ascii="Trebuchet MS" w:hAnsi="Trebuchet MS"/>
          <w:sz w:val="22"/>
          <w:szCs w:val="22"/>
        </w:rPr>
        <w:tab/>
      </w:r>
      <w:r w:rsidR="000A6B59" w:rsidRPr="009F7B43">
        <w:rPr>
          <w:rFonts w:ascii="Trebuchet MS" w:hAnsi="Trebuchet MS"/>
          <w:sz w:val="22"/>
          <w:szCs w:val="22"/>
        </w:rPr>
        <w:tab/>
      </w:r>
      <w:r w:rsidR="000A6B59" w:rsidRPr="009F7B43">
        <w:rPr>
          <w:rFonts w:ascii="Trebuchet MS" w:hAnsi="Trebuchet MS"/>
          <w:b/>
          <w:i/>
          <w:sz w:val="22"/>
          <w:szCs w:val="22"/>
        </w:rPr>
        <w:t>Break</w:t>
      </w:r>
    </w:p>
    <w:p w14:paraId="146C217A" w14:textId="041A3AB6" w:rsidR="000A6B59" w:rsidRPr="009F7B43" w:rsidRDefault="00E74AD6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15.00</w:t>
      </w:r>
      <w:r w:rsidR="000A6B59" w:rsidRPr="009F7B43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Workshop session – applying the principles and practice to your own projects</w:t>
      </w:r>
    </w:p>
    <w:p w14:paraId="134D00E4" w14:textId="77777777" w:rsidR="000A6B59" w:rsidRPr="009F7B43" w:rsidRDefault="000A6B59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16.15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  <w:t>Summary, questions, feedback and course review</w:t>
      </w:r>
    </w:p>
    <w:p w14:paraId="0C27EDD1" w14:textId="77777777" w:rsidR="000A6B59" w:rsidRDefault="000A6B59" w:rsidP="009F7B43">
      <w:p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16.30 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  <w:t>Close.</w:t>
      </w:r>
    </w:p>
    <w:p w14:paraId="7D4AF842" w14:textId="77777777" w:rsidR="00E74AD6" w:rsidRDefault="00E74AD6" w:rsidP="009F7B43">
      <w:pPr>
        <w:spacing w:before="120"/>
        <w:rPr>
          <w:rFonts w:ascii="Trebuchet MS" w:hAnsi="Trebuchet MS"/>
          <w:sz w:val="22"/>
          <w:szCs w:val="22"/>
        </w:rPr>
      </w:pPr>
    </w:p>
    <w:p w14:paraId="4022F942" w14:textId="18C1276E" w:rsidR="00E74AD6" w:rsidRDefault="00E74AD6" w:rsidP="00E74AD6">
      <w:pPr>
        <w:spacing w:before="12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</w:t>
      </w:r>
    </w:p>
    <w:p w14:paraId="72DB2D3C" w14:textId="77777777" w:rsidR="002B7872" w:rsidRPr="000A6B59" w:rsidRDefault="002B7872" w:rsidP="000A6B59">
      <w:pPr>
        <w:spacing w:before="30"/>
        <w:rPr>
          <w:rFonts w:ascii="Trebuchet MS" w:hAnsi="Trebuchet MS"/>
          <w:bCs/>
          <w:sz w:val="20"/>
          <w:szCs w:val="20"/>
        </w:rPr>
      </w:pPr>
    </w:p>
    <w:sectPr w:rsidR="002B7872" w:rsidRPr="000A6B59" w:rsidSect="0071341E">
      <w:headerReference w:type="default" r:id="rId8"/>
      <w:pgSz w:w="11900" w:h="16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206A5" w14:textId="77777777" w:rsidR="000150CD" w:rsidRDefault="000150CD" w:rsidP="00A57DC6">
      <w:r>
        <w:separator/>
      </w:r>
    </w:p>
  </w:endnote>
  <w:endnote w:type="continuationSeparator" w:id="0">
    <w:p w14:paraId="4326AE41" w14:textId="77777777" w:rsidR="000150CD" w:rsidRDefault="000150CD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D438" w14:textId="77777777" w:rsidR="000150CD" w:rsidRDefault="000150CD" w:rsidP="00A57DC6">
      <w:r>
        <w:separator/>
      </w:r>
    </w:p>
  </w:footnote>
  <w:footnote w:type="continuationSeparator" w:id="0">
    <w:p w14:paraId="78879AD0" w14:textId="77777777" w:rsidR="000150CD" w:rsidRDefault="000150CD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C4DD" w14:textId="77777777" w:rsidR="00E74AD6" w:rsidRDefault="00E74AD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843D1D" wp14:editId="2C2965F1">
          <wp:simplePos x="0" y="0"/>
          <wp:positionH relativeFrom="column">
            <wp:posOffset>5042535</wp:posOffset>
          </wp:positionH>
          <wp:positionV relativeFrom="paragraph">
            <wp:posOffset>-142240</wp:posOffset>
          </wp:positionV>
          <wp:extent cx="1308100" cy="831850"/>
          <wp:effectExtent l="0" t="0" r="6350" b="635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DA2"/>
    <w:multiLevelType w:val="hybridMultilevel"/>
    <w:tmpl w:val="A8740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F347F"/>
    <w:multiLevelType w:val="hybridMultilevel"/>
    <w:tmpl w:val="599E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906"/>
    <w:multiLevelType w:val="hybridMultilevel"/>
    <w:tmpl w:val="4DDEA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C5192"/>
    <w:multiLevelType w:val="hybridMultilevel"/>
    <w:tmpl w:val="4B4C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D85A06"/>
    <w:multiLevelType w:val="hybridMultilevel"/>
    <w:tmpl w:val="2B2A6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30CB"/>
    <w:multiLevelType w:val="hybridMultilevel"/>
    <w:tmpl w:val="0D02680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5FE80405"/>
    <w:multiLevelType w:val="hybridMultilevel"/>
    <w:tmpl w:val="E43ED4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7635B3"/>
    <w:multiLevelType w:val="hybridMultilevel"/>
    <w:tmpl w:val="A0C05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150CD"/>
    <w:rsid w:val="00027622"/>
    <w:rsid w:val="00031EC1"/>
    <w:rsid w:val="000423A9"/>
    <w:rsid w:val="0009341F"/>
    <w:rsid w:val="000A6B59"/>
    <w:rsid w:val="000B4CE1"/>
    <w:rsid w:val="000C42B7"/>
    <w:rsid w:val="000F20EF"/>
    <w:rsid w:val="0012090E"/>
    <w:rsid w:val="0012427B"/>
    <w:rsid w:val="001C1FBC"/>
    <w:rsid w:val="001E7D98"/>
    <w:rsid w:val="0028391C"/>
    <w:rsid w:val="002B7872"/>
    <w:rsid w:val="002E3537"/>
    <w:rsid w:val="00317E71"/>
    <w:rsid w:val="003B67DF"/>
    <w:rsid w:val="003E1F9F"/>
    <w:rsid w:val="0040658C"/>
    <w:rsid w:val="004423EF"/>
    <w:rsid w:val="00443FC0"/>
    <w:rsid w:val="00474097"/>
    <w:rsid w:val="00490763"/>
    <w:rsid w:val="004A61AF"/>
    <w:rsid w:val="004F18DE"/>
    <w:rsid w:val="004F6506"/>
    <w:rsid w:val="00544747"/>
    <w:rsid w:val="00591FC9"/>
    <w:rsid w:val="005C46A3"/>
    <w:rsid w:val="0062289B"/>
    <w:rsid w:val="0062362E"/>
    <w:rsid w:val="00644C1A"/>
    <w:rsid w:val="0066598D"/>
    <w:rsid w:val="006864A0"/>
    <w:rsid w:val="006A50C7"/>
    <w:rsid w:val="006A79E7"/>
    <w:rsid w:val="006E729F"/>
    <w:rsid w:val="00704896"/>
    <w:rsid w:val="0071341E"/>
    <w:rsid w:val="007567F0"/>
    <w:rsid w:val="00766B59"/>
    <w:rsid w:val="007919E5"/>
    <w:rsid w:val="007C3209"/>
    <w:rsid w:val="007E0090"/>
    <w:rsid w:val="007E6B26"/>
    <w:rsid w:val="007F5836"/>
    <w:rsid w:val="0081400B"/>
    <w:rsid w:val="00851488"/>
    <w:rsid w:val="008724E2"/>
    <w:rsid w:val="00872F9B"/>
    <w:rsid w:val="00874CF5"/>
    <w:rsid w:val="0089386E"/>
    <w:rsid w:val="008D0A98"/>
    <w:rsid w:val="008D3D74"/>
    <w:rsid w:val="008E16BE"/>
    <w:rsid w:val="00900686"/>
    <w:rsid w:val="00940029"/>
    <w:rsid w:val="009F7B43"/>
    <w:rsid w:val="00A359C2"/>
    <w:rsid w:val="00A57DC6"/>
    <w:rsid w:val="00A77252"/>
    <w:rsid w:val="00A8312E"/>
    <w:rsid w:val="00A8354B"/>
    <w:rsid w:val="00A92EFD"/>
    <w:rsid w:val="00AD010E"/>
    <w:rsid w:val="00AE3E3E"/>
    <w:rsid w:val="00AF2042"/>
    <w:rsid w:val="00BF16C5"/>
    <w:rsid w:val="00C36E93"/>
    <w:rsid w:val="00C404FB"/>
    <w:rsid w:val="00CB6130"/>
    <w:rsid w:val="00CC3BB3"/>
    <w:rsid w:val="00D53671"/>
    <w:rsid w:val="00DE798B"/>
    <w:rsid w:val="00DF6050"/>
    <w:rsid w:val="00E12D39"/>
    <w:rsid w:val="00E34928"/>
    <w:rsid w:val="00E74AD6"/>
    <w:rsid w:val="00E81E8B"/>
    <w:rsid w:val="00E82BBF"/>
    <w:rsid w:val="00EA6078"/>
    <w:rsid w:val="00EB2BBC"/>
    <w:rsid w:val="00F00E2C"/>
    <w:rsid w:val="00F12080"/>
    <w:rsid w:val="00F640B8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42B7DD5"/>
  <w15:docId w15:val="{8B90635A-99C7-B040-9593-F20A4482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6A98F-9BCB-4D45-8BA1-4DA0561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Leone Donnelly</cp:lastModifiedBy>
  <cp:revision>2</cp:revision>
  <cp:lastPrinted>2018-01-22T08:58:00Z</cp:lastPrinted>
  <dcterms:created xsi:type="dcterms:W3CDTF">2020-12-11T17:02:00Z</dcterms:created>
  <dcterms:modified xsi:type="dcterms:W3CDTF">2020-12-11T17:02:00Z</dcterms:modified>
</cp:coreProperties>
</file>